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C4" w:rsidRDefault="00C525C4" w:rsidP="00C525C4">
      <w:pPr>
        <w:rPr>
          <w:rFonts w:hint="cs"/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هام جدا  </w:t>
      </w:r>
    </w:p>
    <w:p w:rsidR="00024D29" w:rsidRPr="00C525C4" w:rsidRDefault="000648C9" w:rsidP="00C525C4">
      <w:pPr>
        <w:rPr>
          <w:rFonts w:hint="cs"/>
          <w:sz w:val="44"/>
          <w:szCs w:val="44"/>
          <w:rtl/>
          <w:lang w:bidi="ar-DZ"/>
        </w:rPr>
      </w:pPr>
      <w:r w:rsidRPr="00C525C4">
        <w:rPr>
          <w:rFonts w:hint="cs"/>
          <w:sz w:val="44"/>
          <w:szCs w:val="44"/>
          <w:rtl/>
          <w:lang w:bidi="ar-DZ"/>
        </w:rPr>
        <w:t xml:space="preserve">إعلان للطلبة المعيدين </w:t>
      </w:r>
      <w:r w:rsidR="00024D29" w:rsidRPr="00C525C4">
        <w:rPr>
          <w:rFonts w:hint="cs"/>
          <w:sz w:val="44"/>
          <w:szCs w:val="44"/>
          <w:rtl/>
          <w:lang w:bidi="ar-DZ"/>
        </w:rPr>
        <w:t>سنة أولى</w:t>
      </w:r>
    </w:p>
    <w:p w:rsidR="00024D29" w:rsidRDefault="00024D29" w:rsidP="00C525C4">
      <w:pPr>
        <w:jc w:val="both"/>
        <w:rPr>
          <w:rFonts w:hint="cs"/>
          <w:rtl/>
          <w:lang w:bidi="ar-DZ"/>
        </w:rPr>
      </w:pPr>
    </w:p>
    <w:p w:rsidR="00024D29" w:rsidRPr="001A5FB1" w:rsidRDefault="00C525C4" w:rsidP="00C525C4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ab/>
      </w:r>
      <w:r w:rsidR="00024D29" w:rsidRPr="001A5FB1">
        <w:rPr>
          <w:rFonts w:hint="cs"/>
          <w:sz w:val="28"/>
          <w:szCs w:val="28"/>
          <w:rtl/>
          <w:lang w:bidi="ar-DZ"/>
        </w:rPr>
        <w:t>نظرا للتغيرات التي حدثت في مقاييس السنة الأولى  في السداسيين الأول والثاني على الطلبة</w:t>
      </w:r>
      <w:r w:rsidR="00C42B98" w:rsidRPr="001A5FB1">
        <w:rPr>
          <w:rFonts w:hint="cs"/>
          <w:sz w:val="28"/>
          <w:szCs w:val="28"/>
          <w:rtl/>
          <w:lang w:bidi="ar-DZ"/>
        </w:rPr>
        <w:t xml:space="preserve"> المعيدين </w:t>
      </w:r>
      <w:r w:rsidR="00024D29" w:rsidRPr="001A5FB1">
        <w:rPr>
          <w:rFonts w:hint="cs"/>
          <w:sz w:val="28"/>
          <w:szCs w:val="28"/>
          <w:rtl/>
          <w:lang w:bidi="ar-DZ"/>
        </w:rPr>
        <w:t xml:space="preserve"> الاطلاع  على التغيرات الجديدة  (زيادة عدد المقاييس .تغير الوحدات و المعاملات والقروض </w:t>
      </w:r>
      <w:r w:rsidR="00024D29" w:rsidRPr="001A5FB1">
        <w:rPr>
          <w:sz w:val="28"/>
          <w:szCs w:val="28"/>
          <w:lang w:bidi="ar-DZ"/>
        </w:rPr>
        <w:t xml:space="preserve">crédits </w:t>
      </w:r>
      <w:r w:rsidR="00024D29" w:rsidRPr="001A5FB1">
        <w:rPr>
          <w:rFonts w:hint="cs"/>
          <w:sz w:val="28"/>
          <w:szCs w:val="28"/>
          <w:rtl/>
          <w:lang w:bidi="ar-DZ"/>
        </w:rPr>
        <w:t xml:space="preserve"> ) </w:t>
      </w:r>
    </w:p>
    <w:p w:rsidR="0061699E" w:rsidRPr="001A5FB1" w:rsidRDefault="00024D29" w:rsidP="00C525C4">
      <w:pPr>
        <w:bidi/>
        <w:jc w:val="both"/>
        <w:rPr>
          <w:rFonts w:hint="cs"/>
          <w:sz w:val="28"/>
          <w:szCs w:val="28"/>
          <w:rtl/>
          <w:lang w:bidi="ar-DZ"/>
        </w:rPr>
      </w:pPr>
      <w:r w:rsidRPr="001A5FB1">
        <w:rPr>
          <w:rFonts w:hint="cs"/>
          <w:sz w:val="28"/>
          <w:szCs w:val="28"/>
          <w:rtl/>
          <w:lang w:bidi="ar-DZ"/>
        </w:rPr>
        <w:t xml:space="preserve"> ملاحظة  : </w:t>
      </w:r>
    </w:p>
    <w:p w:rsidR="00024D29" w:rsidRPr="001A5FB1" w:rsidRDefault="0061699E" w:rsidP="00C525C4">
      <w:pPr>
        <w:pStyle w:val="Paragraphedeliste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DZ"/>
        </w:rPr>
      </w:pPr>
      <w:r w:rsidRPr="001A5FB1">
        <w:rPr>
          <w:rFonts w:hint="cs"/>
          <w:sz w:val="28"/>
          <w:szCs w:val="28"/>
          <w:rtl/>
          <w:lang w:bidi="ar-DZ"/>
        </w:rPr>
        <w:t xml:space="preserve">في السداسي </w:t>
      </w:r>
      <w:r w:rsidR="00C42B98" w:rsidRPr="001A5FB1">
        <w:rPr>
          <w:rFonts w:hint="cs"/>
          <w:sz w:val="28"/>
          <w:szCs w:val="28"/>
          <w:rtl/>
          <w:lang w:bidi="ar-DZ"/>
        </w:rPr>
        <w:t>الأول :</w:t>
      </w:r>
      <w:r w:rsidR="00024D29" w:rsidRPr="001A5FB1">
        <w:rPr>
          <w:rFonts w:hint="cs"/>
          <w:sz w:val="28"/>
          <w:szCs w:val="28"/>
          <w:rtl/>
          <w:lang w:bidi="ar-DZ"/>
        </w:rPr>
        <w:t xml:space="preserve"> مادة  </w:t>
      </w:r>
      <w:r w:rsidR="00024D29" w:rsidRPr="001A5FB1">
        <w:rPr>
          <w:sz w:val="28"/>
          <w:szCs w:val="28"/>
          <w:lang w:bidi="ar-DZ"/>
        </w:rPr>
        <w:t xml:space="preserve"> Méthodes de travail </w:t>
      </w:r>
      <w:r w:rsidR="00024D29" w:rsidRPr="001A5FB1">
        <w:rPr>
          <w:rFonts w:hint="cs"/>
          <w:sz w:val="28"/>
          <w:szCs w:val="28"/>
          <w:rtl/>
          <w:lang w:bidi="ar-DZ"/>
        </w:rPr>
        <w:t xml:space="preserve">  (مادة </w:t>
      </w:r>
      <w:r w:rsidRPr="001A5FB1">
        <w:rPr>
          <w:rFonts w:hint="cs"/>
          <w:sz w:val="28"/>
          <w:szCs w:val="28"/>
          <w:rtl/>
          <w:lang w:bidi="ar-DZ"/>
        </w:rPr>
        <w:t xml:space="preserve">جديدة </w:t>
      </w:r>
      <w:r w:rsidR="00024D29" w:rsidRPr="001A5FB1">
        <w:rPr>
          <w:rFonts w:hint="cs"/>
          <w:sz w:val="28"/>
          <w:szCs w:val="28"/>
          <w:rtl/>
          <w:lang w:bidi="ar-DZ"/>
        </w:rPr>
        <w:t>مضافة</w:t>
      </w:r>
      <w:r w:rsidRPr="001A5FB1">
        <w:rPr>
          <w:rFonts w:hint="cs"/>
          <w:sz w:val="28"/>
          <w:szCs w:val="28"/>
          <w:rtl/>
          <w:lang w:bidi="ar-DZ"/>
        </w:rPr>
        <w:t xml:space="preserve"> في السداسي الأول </w:t>
      </w:r>
      <w:r w:rsidR="00024D29" w:rsidRPr="001A5FB1">
        <w:rPr>
          <w:rFonts w:hint="cs"/>
          <w:sz w:val="28"/>
          <w:szCs w:val="28"/>
          <w:rtl/>
          <w:lang w:bidi="ar-DZ"/>
        </w:rPr>
        <w:t xml:space="preserve"> )</w:t>
      </w:r>
      <w:r w:rsidR="00C42B98" w:rsidRPr="001A5FB1">
        <w:rPr>
          <w:rFonts w:hint="cs"/>
          <w:sz w:val="28"/>
          <w:szCs w:val="28"/>
          <w:rtl/>
          <w:lang w:bidi="ar-DZ"/>
        </w:rPr>
        <w:t xml:space="preserve">  كحالة خاصة لعدم توفر الوقت تكون  </w:t>
      </w:r>
      <w:r w:rsidRPr="001A5FB1">
        <w:rPr>
          <w:rFonts w:hint="cs"/>
          <w:sz w:val="28"/>
          <w:szCs w:val="28"/>
          <w:rtl/>
          <w:lang w:bidi="ar-DZ"/>
        </w:rPr>
        <w:t xml:space="preserve"> اختيارية </w:t>
      </w:r>
      <w:r w:rsidR="00024D29" w:rsidRPr="001A5FB1">
        <w:rPr>
          <w:rFonts w:hint="cs"/>
          <w:sz w:val="28"/>
          <w:szCs w:val="28"/>
          <w:rtl/>
          <w:lang w:bidi="ar-DZ"/>
        </w:rPr>
        <w:t>بمعني</w:t>
      </w:r>
      <w:r w:rsidRPr="001A5FB1">
        <w:rPr>
          <w:rFonts w:hint="cs"/>
          <w:sz w:val="28"/>
          <w:szCs w:val="28"/>
          <w:rtl/>
          <w:lang w:bidi="ar-DZ"/>
        </w:rPr>
        <w:t xml:space="preserve"> أنه </w:t>
      </w:r>
      <w:r w:rsidR="00024D29" w:rsidRPr="001A5FB1">
        <w:rPr>
          <w:rFonts w:hint="cs"/>
          <w:sz w:val="28"/>
          <w:szCs w:val="28"/>
          <w:rtl/>
          <w:lang w:bidi="ar-DZ"/>
        </w:rPr>
        <w:t xml:space="preserve"> يتحصل الطالب </w:t>
      </w:r>
      <w:r w:rsidRPr="001A5FB1">
        <w:rPr>
          <w:rFonts w:hint="cs"/>
          <w:sz w:val="28"/>
          <w:szCs w:val="28"/>
          <w:rtl/>
          <w:lang w:bidi="ar-DZ"/>
        </w:rPr>
        <w:t xml:space="preserve">تلقائيا </w:t>
      </w:r>
      <w:r w:rsidR="00024D29" w:rsidRPr="001A5FB1">
        <w:rPr>
          <w:rFonts w:hint="cs"/>
          <w:sz w:val="28"/>
          <w:szCs w:val="28"/>
          <w:rtl/>
          <w:lang w:bidi="ar-DZ"/>
        </w:rPr>
        <w:t xml:space="preserve"> على علامة  لا تغير من معدله الأصلي</w:t>
      </w:r>
      <w:r w:rsidR="00C525C4" w:rsidRPr="001A5FB1">
        <w:rPr>
          <w:rFonts w:hint="cs"/>
          <w:sz w:val="28"/>
          <w:szCs w:val="28"/>
          <w:rtl/>
          <w:lang w:bidi="ar-DZ"/>
        </w:rPr>
        <w:t xml:space="preserve"> لهذه السنة</w:t>
      </w:r>
      <w:r w:rsidRPr="001A5FB1">
        <w:rPr>
          <w:rFonts w:hint="cs"/>
          <w:sz w:val="28"/>
          <w:szCs w:val="28"/>
          <w:rtl/>
          <w:lang w:bidi="ar-DZ"/>
        </w:rPr>
        <w:t xml:space="preserve"> </w:t>
      </w:r>
      <w:r w:rsidR="00024D29" w:rsidRPr="001A5FB1">
        <w:rPr>
          <w:rFonts w:hint="cs"/>
          <w:sz w:val="28"/>
          <w:szCs w:val="28"/>
          <w:rtl/>
          <w:lang w:bidi="ar-DZ"/>
        </w:rPr>
        <w:t xml:space="preserve"> أو تحتسب العلامة الجديدة </w:t>
      </w:r>
      <w:r w:rsidRPr="001A5FB1">
        <w:rPr>
          <w:rFonts w:hint="cs"/>
          <w:sz w:val="28"/>
          <w:szCs w:val="28"/>
          <w:rtl/>
          <w:lang w:bidi="ar-DZ"/>
        </w:rPr>
        <w:t xml:space="preserve"> في الاختبار </w:t>
      </w:r>
      <w:r w:rsidR="00024D29" w:rsidRPr="001A5FB1">
        <w:rPr>
          <w:rFonts w:hint="cs"/>
          <w:sz w:val="28"/>
          <w:szCs w:val="28"/>
          <w:rtl/>
          <w:lang w:bidi="ar-DZ"/>
        </w:rPr>
        <w:t xml:space="preserve">لمن يريد  زيادة فرص </w:t>
      </w:r>
      <w:r w:rsidRPr="001A5FB1">
        <w:rPr>
          <w:rFonts w:hint="cs"/>
          <w:sz w:val="28"/>
          <w:szCs w:val="28"/>
          <w:rtl/>
          <w:lang w:bidi="ar-DZ"/>
        </w:rPr>
        <w:t>تحسين المعدل مع إمكانية إلغائها وعدم احتسابها  في حالة تأثيرها السلبي على المعدل وتحتسب العلامة التلقائية  .</w:t>
      </w:r>
      <w:r w:rsidR="00C42B98" w:rsidRPr="001A5FB1">
        <w:rPr>
          <w:rFonts w:hint="cs"/>
          <w:sz w:val="28"/>
          <w:szCs w:val="28"/>
          <w:rtl/>
          <w:lang w:bidi="ar-DZ"/>
        </w:rPr>
        <w:t xml:space="preserve"> </w:t>
      </w:r>
    </w:p>
    <w:p w:rsidR="00C42B98" w:rsidRPr="001A5FB1" w:rsidRDefault="00C42B98" w:rsidP="00063483">
      <w:pPr>
        <w:pStyle w:val="Paragraphedeliste"/>
        <w:bidi/>
        <w:ind w:left="770"/>
        <w:jc w:val="both"/>
        <w:rPr>
          <w:rFonts w:hint="cs"/>
          <w:sz w:val="28"/>
          <w:szCs w:val="28"/>
          <w:lang w:bidi="ar-DZ"/>
        </w:rPr>
      </w:pPr>
    </w:p>
    <w:p w:rsidR="00C42B98" w:rsidRPr="001A5FB1" w:rsidRDefault="00C42B98" w:rsidP="00C42B98">
      <w:pPr>
        <w:pStyle w:val="Paragraphedeliste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DZ"/>
        </w:rPr>
      </w:pPr>
      <w:r w:rsidRPr="001A5FB1">
        <w:rPr>
          <w:rFonts w:hint="cs"/>
          <w:sz w:val="28"/>
          <w:szCs w:val="28"/>
          <w:rtl/>
          <w:lang w:bidi="ar-DZ"/>
        </w:rPr>
        <w:t xml:space="preserve">الوحدات التي اكتسبت العام الماضي تحتفظ بنفس العلامات  مع احتسابها بالمعاملات الجديدة </w:t>
      </w:r>
    </w:p>
    <w:p w:rsidR="00C525C4" w:rsidRPr="001A5FB1" w:rsidRDefault="00C525C4" w:rsidP="00C525C4">
      <w:pPr>
        <w:pStyle w:val="Paragraphedeliste"/>
        <w:bidi/>
        <w:ind w:left="770"/>
        <w:jc w:val="both"/>
        <w:rPr>
          <w:rFonts w:hint="cs"/>
          <w:sz w:val="28"/>
          <w:szCs w:val="28"/>
          <w:rtl/>
          <w:lang w:bidi="ar-DZ"/>
        </w:rPr>
      </w:pPr>
    </w:p>
    <w:p w:rsidR="001A5FB1" w:rsidRPr="001A5FB1" w:rsidRDefault="0061699E" w:rsidP="001A5FB1">
      <w:pPr>
        <w:pStyle w:val="Paragraphedeliste"/>
        <w:numPr>
          <w:ilvl w:val="0"/>
          <w:numId w:val="1"/>
        </w:numPr>
        <w:bidi/>
        <w:jc w:val="both"/>
        <w:rPr>
          <w:rFonts w:hint="cs"/>
          <w:sz w:val="24"/>
          <w:szCs w:val="24"/>
          <w:lang w:bidi="ar-DZ"/>
        </w:rPr>
      </w:pPr>
      <w:r w:rsidRPr="001A5FB1">
        <w:rPr>
          <w:rFonts w:hint="cs"/>
          <w:sz w:val="28"/>
          <w:szCs w:val="28"/>
          <w:rtl/>
          <w:lang w:bidi="ar-DZ"/>
        </w:rPr>
        <w:t xml:space="preserve">في السداسي الثاني   تكون مادة علوم الطبيعة وتأثيراتها الاقتصادية والاجتماعية </w:t>
      </w:r>
      <w:r w:rsidRPr="001A5FB1">
        <w:rPr>
          <w:sz w:val="28"/>
          <w:szCs w:val="28"/>
          <w:lang w:bidi="ar-DZ"/>
        </w:rPr>
        <w:t xml:space="preserve"> science de la vie et impacts socio-économiques </w:t>
      </w:r>
      <w:r w:rsidR="00C525C4" w:rsidRPr="001A5FB1">
        <w:rPr>
          <w:rFonts w:hint="cs"/>
          <w:sz w:val="28"/>
          <w:szCs w:val="28"/>
          <w:rtl/>
          <w:lang w:bidi="ar-DZ"/>
        </w:rPr>
        <w:t>إجبارية  للطلبة  المعيدين.</w:t>
      </w:r>
    </w:p>
    <w:p w:rsidR="001A5FB1" w:rsidRPr="001A5FB1" w:rsidRDefault="001A5FB1" w:rsidP="001A5FB1">
      <w:pPr>
        <w:pStyle w:val="Paragraphedeliste"/>
        <w:bidi/>
        <w:ind w:left="770"/>
        <w:rPr>
          <w:rFonts w:hint="cs"/>
          <w:sz w:val="24"/>
          <w:szCs w:val="24"/>
          <w:rtl/>
          <w:lang w:bidi="ar-DZ"/>
        </w:rPr>
      </w:pPr>
    </w:p>
    <w:p w:rsidR="001A5FB1" w:rsidRPr="001A5FB1" w:rsidRDefault="001A5FB1" w:rsidP="001A5FB1">
      <w:pPr>
        <w:pStyle w:val="Paragraphedeliste"/>
        <w:bidi/>
        <w:ind w:left="770"/>
        <w:rPr>
          <w:rFonts w:hint="cs"/>
          <w:sz w:val="24"/>
          <w:szCs w:val="24"/>
          <w:rtl/>
          <w:lang w:bidi="ar-DZ"/>
        </w:rPr>
      </w:pPr>
    </w:p>
    <w:p w:rsidR="001A5FB1" w:rsidRPr="001A5FB1" w:rsidRDefault="00063483" w:rsidP="001A5FB1">
      <w:pPr>
        <w:pStyle w:val="Paragraphedeliste"/>
        <w:bidi/>
        <w:ind w:left="770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وت</w:t>
      </w:r>
      <w:r w:rsidR="001A5FB1" w:rsidRPr="001A5FB1">
        <w:rPr>
          <w:rFonts w:hint="cs"/>
          <w:sz w:val="24"/>
          <w:szCs w:val="24"/>
          <w:rtl/>
          <w:lang w:bidi="ar-DZ"/>
        </w:rPr>
        <w:t xml:space="preserve">خصص يوم الثلاثاء والأربعاء الساعة العاشرة  على مستوى القاعة  الموجودة بإدارة القسم حصة </w:t>
      </w:r>
      <w:r w:rsidR="00555CAD">
        <w:rPr>
          <w:rFonts w:hint="cs"/>
          <w:sz w:val="24"/>
          <w:szCs w:val="24"/>
          <w:rtl/>
          <w:lang w:bidi="ar-DZ"/>
        </w:rPr>
        <w:t xml:space="preserve">خاصة </w:t>
      </w:r>
      <w:r w:rsidR="001A5FB1" w:rsidRPr="001A5FB1">
        <w:rPr>
          <w:rFonts w:hint="cs"/>
          <w:sz w:val="24"/>
          <w:szCs w:val="24"/>
          <w:rtl/>
          <w:lang w:bidi="ar-DZ"/>
        </w:rPr>
        <w:t xml:space="preserve"> للإجابة على استفساراتك</w:t>
      </w:r>
    </w:p>
    <w:p w:rsidR="00C42B98" w:rsidRPr="001A5FB1" w:rsidRDefault="00C42B98" w:rsidP="001A5FB1">
      <w:pPr>
        <w:pStyle w:val="Paragraphedeliste"/>
        <w:bidi/>
        <w:ind w:left="770"/>
        <w:jc w:val="both"/>
        <w:rPr>
          <w:sz w:val="24"/>
          <w:szCs w:val="24"/>
          <w:lang w:bidi="ar-DZ"/>
        </w:rPr>
      </w:pPr>
    </w:p>
    <w:p w:rsidR="00024D29" w:rsidRDefault="00024D29" w:rsidP="00C525C4">
      <w:pPr>
        <w:jc w:val="both"/>
        <w:rPr>
          <w:rFonts w:hint="cs"/>
          <w:rtl/>
          <w:lang w:bidi="ar-DZ"/>
        </w:rPr>
      </w:pPr>
    </w:p>
    <w:tbl>
      <w:tblPr>
        <w:tblpPr w:leftFromText="141" w:rightFromText="141" w:vertAnchor="text" w:horzAnchor="margin" w:tblpY="33"/>
        <w:tblW w:w="5375" w:type="dxa"/>
        <w:tblCellMar>
          <w:left w:w="70" w:type="dxa"/>
          <w:right w:w="70" w:type="dxa"/>
        </w:tblCellMar>
        <w:tblLook w:val="04A0"/>
      </w:tblPr>
      <w:tblGrid>
        <w:gridCol w:w="720"/>
        <w:gridCol w:w="1219"/>
        <w:gridCol w:w="397"/>
        <w:gridCol w:w="397"/>
        <w:gridCol w:w="1873"/>
        <w:gridCol w:w="397"/>
        <w:gridCol w:w="372"/>
      </w:tblGrid>
      <w:tr w:rsidR="0096681C" w:rsidRPr="00EE5A5D" w:rsidTr="0096681C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 w:bidi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 w:bidi="ar-SA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b/>
                <w:bCs/>
                <w:color w:val="000000"/>
                <w:lang w:eastAsia="fr-FR" w:bidi="ar-SA"/>
              </w:rPr>
              <w:t>Premier semestre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 w:bidi="ar-SA"/>
              </w:rPr>
            </w:pPr>
          </w:p>
        </w:tc>
      </w:tr>
      <w:tr w:rsidR="0096681C" w:rsidRPr="0097273F" w:rsidTr="0096681C">
        <w:trPr>
          <w:trHeight w:val="20"/>
        </w:trPr>
        <w:tc>
          <w:tcPr>
            <w:tcW w:w="27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unité </w:t>
            </w:r>
            <w:proofErr w:type="spellStart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denseignement</w:t>
            </w:r>
            <w:proofErr w:type="spellEnd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 (UE)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matière constitutive de l'unité d'enseignement 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 </w:t>
            </w:r>
          </w:p>
        </w:tc>
      </w:tr>
      <w:tr w:rsidR="0096681C" w:rsidRPr="0097273F" w:rsidTr="0096681C">
        <w:trPr>
          <w:trHeight w:val="14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code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nature  d'unité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crédits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proofErr w:type="spellStart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coef</w:t>
            </w:r>
            <w:proofErr w:type="spellEnd"/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intitulé(s)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crédits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proofErr w:type="spellStart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coef</w:t>
            </w:r>
            <w:proofErr w:type="spellEnd"/>
          </w:p>
        </w:tc>
      </w:tr>
      <w:tr w:rsidR="0096681C" w:rsidRPr="0097273F" w:rsidTr="0096681C">
        <w:trPr>
          <w:trHeight w:val="41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</w:tr>
      <w:tr w:rsidR="0096681C" w:rsidRPr="0097273F" w:rsidTr="0096681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UEF1.1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fondamental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18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9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Chimie générale et organique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3</w:t>
            </w:r>
          </w:p>
        </w:tc>
      </w:tr>
      <w:tr w:rsidR="0096681C" w:rsidRPr="0097273F" w:rsidTr="0096681C">
        <w:trPr>
          <w:trHeight w:val="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Biologie cellulaire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4</w:t>
            </w:r>
          </w:p>
        </w:tc>
      </w:tr>
      <w:tr w:rsidR="0096681C" w:rsidRPr="0097273F" w:rsidTr="0096681C">
        <w:trPr>
          <w:trHeight w:val="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proofErr w:type="spellStart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Math,stat</w:t>
            </w:r>
            <w:proofErr w:type="spellEnd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,info,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</w:tr>
      <w:tr w:rsidR="0096681C" w:rsidRPr="0097273F" w:rsidTr="0096681C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UED1.1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découverte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Méthodes de travail et terminologie 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</w:tr>
      <w:tr w:rsidR="0096681C" w:rsidRPr="0097273F" w:rsidTr="0096681C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UET1.1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Transversal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Histoire </w:t>
            </w:r>
            <w:proofErr w:type="spellStart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Univer,Sciences</w:t>
            </w:r>
            <w:proofErr w:type="spellEnd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 , Bio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</w:t>
            </w:r>
          </w:p>
        </w:tc>
      </w:tr>
      <w:tr w:rsidR="0096681C" w:rsidRPr="0097273F" w:rsidTr="0096681C">
        <w:trPr>
          <w:trHeight w:val="2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UEM1.1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méthodologique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9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5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proofErr w:type="spellStart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Tech,comm,Expréssion</w:t>
            </w:r>
            <w:proofErr w:type="spellEnd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 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</w:tr>
      <w:tr w:rsidR="0096681C" w:rsidRPr="0097273F" w:rsidTr="0096681C">
        <w:trPr>
          <w:trHeight w:val="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Géologie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681C" w:rsidRPr="00EE5A5D" w:rsidRDefault="0096681C" w:rsidP="0096681C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3</w:t>
            </w:r>
          </w:p>
        </w:tc>
      </w:tr>
    </w:tbl>
    <w:p w:rsidR="000648C9" w:rsidRDefault="00024D29" w:rsidP="00C525C4">
      <w:pPr>
        <w:jc w:val="both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   </w:t>
      </w:r>
    </w:p>
    <w:tbl>
      <w:tblPr>
        <w:tblpPr w:leftFromText="141" w:rightFromText="141" w:vertAnchor="page" w:horzAnchor="page" w:tblpX="9399" w:tblpY="6755"/>
        <w:tblW w:w="5458" w:type="dxa"/>
        <w:tblCellMar>
          <w:left w:w="70" w:type="dxa"/>
          <w:right w:w="70" w:type="dxa"/>
        </w:tblCellMar>
        <w:tblLook w:val="04A0"/>
      </w:tblPr>
      <w:tblGrid>
        <w:gridCol w:w="531"/>
        <w:gridCol w:w="1099"/>
        <w:gridCol w:w="397"/>
        <w:gridCol w:w="397"/>
        <w:gridCol w:w="2151"/>
        <w:gridCol w:w="536"/>
        <w:gridCol w:w="347"/>
      </w:tblGrid>
      <w:tr w:rsidR="00C42B98" w:rsidRPr="0097273F" w:rsidTr="001A5FB1">
        <w:trPr>
          <w:trHeight w:val="2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b/>
                <w:bCs/>
                <w:color w:val="000000"/>
                <w:lang w:eastAsia="fr-FR" w:bidi="ar-SA"/>
              </w:rPr>
              <w:t>Deuxième semestre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</w:tr>
      <w:tr w:rsidR="00C42B98" w:rsidRPr="00EE5A5D" w:rsidTr="001A5FB1">
        <w:trPr>
          <w:trHeight w:val="274"/>
        </w:trPr>
        <w:tc>
          <w:tcPr>
            <w:tcW w:w="24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unité </w:t>
            </w:r>
            <w:proofErr w:type="spellStart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denseignement</w:t>
            </w:r>
            <w:proofErr w:type="spellEnd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 (UE)</w:t>
            </w:r>
          </w:p>
        </w:tc>
        <w:tc>
          <w:tcPr>
            <w:tcW w:w="3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matière constitutive de l'unité d'enseignement </w:t>
            </w:r>
          </w:p>
        </w:tc>
      </w:tr>
      <w:tr w:rsidR="00C42B98" w:rsidRPr="0097273F" w:rsidTr="001A5FB1">
        <w:trPr>
          <w:trHeight w:val="146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code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nature 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crédits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proofErr w:type="spellStart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coef</w:t>
            </w:r>
            <w:proofErr w:type="spellEnd"/>
          </w:p>
        </w:tc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intitulé(s)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crédits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proofErr w:type="spellStart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coef</w:t>
            </w:r>
            <w:proofErr w:type="spellEnd"/>
          </w:p>
        </w:tc>
      </w:tr>
      <w:tr w:rsidR="00C42B98" w:rsidRPr="0097273F" w:rsidTr="001A5FB1">
        <w:trPr>
          <w:trHeight w:val="419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</w:tr>
      <w:tr w:rsidR="00C42B98" w:rsidRPr="0097273F" w:rsidTr="001A5FB1">
        <w:trPr>
          <w:trHeight w:val="2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UEF 2.1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Fondamental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18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chimie (</w:t>
            </w:r>
            <w:proofErr w:type="spellStart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Therm,chi,des</w:t>
            </w:r>
            <w:proofErr w:type="spellEnd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 </w:t>
            </w:r>
            <w:proofErr w:type="spellStart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solu</w:t>
            </w:r>
            <w:proofErr w:type="spellEnd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, minérale)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3</w:t>
            </w:r>
          </w:p>
        </w:tc>
      </w:tr>
      <w:tr w:rsidR="00C42B98" w:rsidRPr="0097273F" w:rsidTr="001A5FB1">
        <w:trPr>
          <w:trHeight w:val="2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Biologie végétale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3</w:t>
            </w:r>
          </w:p>
        </w:tc>
      </w:tr>
      <w:tr w:rsidR="00C42B98" w:rsidRPr="0097273F" w:rsidTr="001A5FB1">
        <w:trPr>
          <w:trHeight w:val="2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Biologie Animale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3</w:t>
            </w:r>
          </w:p>
        </w:tc>
      </w:tr>
      <w:tr w:rsidR="00C42B98" w:rsidRPr="0097273F" w:rsidTr="001A5FB1">
        <w:trPr>
          <w:trHeight w:val="2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UET 2.1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Transversale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Méthodes de travail et  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1</w:t>
            </w:r>
          </w:p>
        </w:tc>
      </w:tr>
      <w:tr w:rsidR="00C42B98" w:rsidRPr="0097273F" w:rsidTr="001A5FB1">
        <w:trPr>
          <w:trHeight w:val="2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UED2.1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découverte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sciences de la vie et impact socio-économique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</w:tr>
      <w:tr w:rsidR="00C42B98" w:rsidRPr="0097273F" w:rsidTr="001A5FB1">
        <w:trPr>
          <w:trHeight w:val="2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UEM2.1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Méthodologique 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9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Physique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3</w:t>
            </w:r>
          </w:p>
        </w:tc>
      </w:tr>
      <w:tr w:rsidR="00C42B98" w:rsidRPr="0097273F" w:rsidTr="001A5FB1">
        <w:trPr>
          <w:trHeight w:val="2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jc w:val="lef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proofErr w:type="spellStart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Tech,comm,Expréssion</w:t>
            </w:r>
            <w:proofErr w:type="spellEnd"/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 xml:space="preserve"> 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98" w:rsidRPr="00EE5A5D" w:rsidRDefault="00C42B98" w:rsidP="001A5FB1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</w:pPr>
            <w:r w:rsidRPr="00EE5A5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fr-FR" w:bidi="ar-SA"/>
              </w:rPr>
              <w:t>2</w:t>
            </w:r>
          </w:p>
        </w:tc>
      </w:tr>
    </w:tbl>
    <w:p w:rsidR="00FE2837" w:rsidRDefault="000648C9">
      <w:r>
        <w:t xml:space="preserve"> </w:t>
      </w:r>
    </w:p>
    <w:p w:rsidR="000648C9" w:rsidRDefault="000648C9">
      <w:pPr>
        <w:rPr>
          <w:rFonts w:hint="cs"/>
          <w:rtl/>
          <w:lang w:bidi="ar-DZ"/>
        </w:rPr>
      </w:pPr>
    </w:p>
    <w:p w:rsidR="00C525C4" w:rsidRDefault="00C525C4">
      <w:pPr>
        <w:rPr>
          <w:rFonts w:hint="cs"/>
          <w:rtl/>
          <w:lang w:bidi="ar-DZ"/>
        </w:rPr>
      </w:pPr>
    </w:p>
    <w:p w:rsidR="00C525C4" w:rsidRDefault="00C525C4">
      <w:pPr>
        <w:rPr>
          <w:rFonts w:hint="cs"/>
          <w:rtl/>
          <w:lang w:bidi="ar-DZ"/>
        </w:rPr>
      </w:pPr>
    </w:p>
    <w:p w:rsidR="00C42B98" w:rsidRDefault="00C42B98">
      <w:pPr>
        <w:rPr>
          <w:rFonts w:hint="cs"/>
          <w:rtl/>
          <w:lang w:bidi="ar-DZ"/>
        </w:rPr>
      </w:pPr>
    </w:p>
    <w:p w:rsidR="00C42B98" w:rsidRDefault="00C42B98">
      <w:pPr>
        <w:rPr>
          <w:rFonts w:hint="cs"/>
          <w:rtl/>
          <w:lang w:bidi="ar-DZ"/>
        </w:rPr>
      </w:pPr>
    </w:p>
    <w:p w:rsidR="00C42B98" w:rsidRDefault="00C42B98">
      <w:pPr>
        <w:rPr>
          <w:rFonts w:hint="cs"/>
          <w:rtl/>
          <w:lang w:bidi="ar-DZ"/>
        </w:rPr>
      </w:pPr>
    </w:p>
    <w:p w:rsidR="00C42B98" w:rsidRDefault="00C42B98">
      <w:pPr>
        <w:rPr>
          <w:rFonts w:hint="cs"/>
          <w:rtl/>
          <w:lang w:bidi="ar-DZ"/>
        </w:rPr>
      </w:pPr>
    </w:p>
    <w:p w:rsidR="00C42B98" w:rsidRDefault="00C42B98">
      <w:pPr>
        <w:rPr>
          <w:rFonts w:hint="cs"/>
          <w:rtl/>
          <w:lang w:bidi="ar-DZ"/>
        </w:rPr>
      </w:pPr>
    </w:p>
    <w:p w:rsidR="00C525C4" w:rsidRDefault="00C525C4">
      <w:pPr>
        <w:rPr>
          <w:rFonts w:hint="cs"/>
          <w:rtl/>
          <w:lang w:bidi="ar-DZ"/>
        </w:rPr>
      </w:pPr>
    </w:p>
    <w:p w:rsidR="00C525C4" w:rsidRDefault="00C525C4">
      <w:pPr>
        <w:rPr>
          <w:rFonts w:hint="cs"/>
          <w:rtl/>
          <w:lang w:bidi="ar-DZ"/>
        </w:rPr>
      </w:pPr>
    </w:p>
    <w:p w:rsidR="00C525C4" w:rsidRDefault="00C42B98" w:rsidP="00C525C4">
      <w:pPr>
        <w:jc w:val="left"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 رئيس قسم التكوين القاعدي </w:t>
      </w:r>
    </w:p>
    <w:sectPr w:rsidR="00C525C4" w:rsidSect="001A5FB1">
      <w:pgSz w:w="16838" w:h="11906" w:orient="landscape"/>
      <w:pgMar w:top="426" w:right="85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0C1B"/>
    <w:multiLevelType w:val="hybridMultilevel"/>
    <w:tmpl w:val="D2B4CFB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648C9"/>
    <w:rsid w:val="00024D29"/>
    <w:rsid w:val="00055A7B"/>
    <w:rsid w:val="00063483"/>
    <w:rsid w:val="000648C9"/>
    <w:rsid w:val="000A3A10"/>
    <w:rsid w:val="001A5FB1"/>
    <w:rsid w:val="002C3F9E"/>
    <w:rsid w:val="00347431"/>
    <w:rsid w:val="003B0352"/>
    <w:rsid w:val="004B18E1"/>
    <w:rsid w:val="00505748"/>
    <w:rsid w:val="00523F61"/>
    <w:rsid w:val="00555CAD"/>
    <w:rsid w:val="005B2246"/>
    <w:rsid w:val="0061699E"/>
    <w:rsid w:val="00806D19"/>
    <w:rsid w:val="00914A08"/>
    <w:rsid w:val="0096681C"/>
    <w:rsid w:val="00C42B98"/>
    <w:rsid w:val="00C525C4"/>
    <w:rsid w:val="00F3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6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3F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3F6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3F61"/>
    <w:pPr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3F61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3F61"/>
    <w:pPr>
      <w:spacing w:before="200"/>
      <w:jc w:val="left"/>
      <w:outlineLvl w:val="4"/>
    </w:pPr>
    <w:rPr>
      <w:smallCaps/>
      <w:color w:val="3667C3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3F61"/>
    <w:pPr>
      <w:jc w:val="left"/>
      <w:outlineLvl w:val="5"/>
    </w:pPr>
    <w:rPr>
      <w:smallCaps/>
      <w:color w:val="7598D9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3F61"/>
    <w:pPr>
      <w:jc w:val="left"/>
      <w:outlineLvl w:val="6"/>
    </w:pPr>
    <w:rPr>
      <w:b/>
      <w:smallCaps/>
      <w:color w:val="7598D9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3F61"/>
    <w:pPr>
      <w:jc w:val="left"/>
      <w:outlineLvl w:val="7"/>
    </w:pPr>
    <w:rPr>
      <w:b/>
      <w:i/>
      <w:smallCaps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3F61"/>
    <w:pPr>
      <w:jc w:val="left"/>
      <w:outlineLvl w:val="8"/>
    </w:pPr>
    <w:rPr>
      <w:b/>
      <w:i/>
      <w:smallCaps/>
      <w:color w:val="244482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3F61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23F61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23F61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23F61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23F61"/>
    <w:rPr>
      <w:smallCaps/>
      <w:color w:val="3667C3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23F61"/>
    <w:rPr>
      <w:smallCaps/>
      <w:color w:val="7598D9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23F61"/>
    <w:rPr>
      <w:b/>
      <w:smallCaps/>
      <w:color w:val="7598D9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23F61"/>
    <w:rPr>
      <w:b/>
      <w:i/>
      <w:smallCaps/>
      <w:color w:val="3667C3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523F61"/>
    <w:rPr>
      <w:b/>
      <w:i/>
      <w:smallCaps/>
      <w:color w:val="244482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23F61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23F61"/>
    <w:pPr>
      <w:pBdr>
        <w:top w:val="single" w:sz="12" w:space="1" w:color="7598D9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23F61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3F61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23F61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523F61"/>
    <w:rPr>
      <w:b/>
      <w:color w:val="7598D9" w:themeColor="accent2"/>
    </w:rPr>
  </w:style>
  <w:style w:type="character" w:styleId="Accentuation">
    <w:name w:val="Emphasis"/>
    <w:uiPriority w:val="20"/>
    <w:qFormat/>
    <w:rsid w:val="00523F61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23F61"/>
  </w:style>
  <w:style w:type="character" w:customStyle="1" w:styleId="SansinterligneCar">
    <w:name w:val="Sans interligne Car"/>
    <w:basedOn w:val="Policepardfaut"/>
    <w:link w:val="Sansinterligne"/>
    <w:uiPriority w:val="1"/>
    <w:rsid w:val="00523F61"/>
  </w:style>
  <w:style w:type="paragraph" w:styleId="Paragraphedeliste">
    <w:name w:val="List Paragraph"/>
    <w:basedOn w:val="Normal"/>
    <w:uiPriority w:val="34"/>
    <w:qFormat/>
    <w:rsid w:val="00523F6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23F6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23F61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3F61"/>
    <w:pPr>
      <w:pBdr>
        <w:top w:val="single" w:sz="8" w:space="10" w:color="3667C3" w:themeColor="accent2" w:themeShade="BF"/>
        <w:left w:val="single" w:sz="8" w:space="10" w:color="3667C3" w:themeColor="accent2" w:themeShade="BF"/>
        <w:bottom w:val="single" w:sz="8" w:space="10" w:color="3667C3" w:themeColor="accent2" w:themeShade="BF"/>
        <w:right w:val="single" w:sz="8" w:space="10" w:color="3667C3" w:themeColor="accent2" w:themeShade="BF"/>
      </w:pBdr>
      <w:shd w:val="clear" w:color="auto" w:fill="7598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3F61"/>
    <w:rPr>
      <w:b/>
      <w:i/>
      <w:color w:val="FFFFFF" w:themeColor="background1"/>
      <w:shd w:val="clear" w:color="auto" w:fill="7598D9" w:themeFill="accent2"/>
    </w:rPr>
  </w:style>
  <w:style w:type="character" w:styleId="Emphaseple">
    <w:name w:val="Subtle Emphasis"/>
    <w:uiPriority w:val="19"/>
    <w:qFormat/>
    <w:rsid w:val="00523F61"/>
    <w:rPr>
      <w:i/>
    </w:rPr>
  </w:style>
  <w:style w:type="character" w:styleId="Emphaseintense">
    <w:name w:val="Intense Emphasis"/>
    <w:uiPriority w:val="21"/>
    <w:qFormat/>
    <w:rsid w:val="00523F61"/>
    <w:rPr>
      <w:b/>
      <w:i/>
      <w:color w:val="7598D9" w:themeColor="accent2"/>
      <w:spacing w:val="10"/>
    </w:rPr>
  </w:style>
  <w:style w:type="character" w:styleId="Rfrenceple">
    <w:name w:val="Subtle Reference"/>
    <w:uiPriority w:val="31"/>
    <w:qFormat/>
    <w:rsid w:val="00523F61"/>
    <w:rPr>
      <w:b/>
    </w:rPr>
  </w:style>
  <w:style w:type="character" w:styleId="Rfrenceintense">
    <w:name w:val="Intense Reference"/>
    <w:uiPriority w:val="32"/>
    <w:qFormat/>
    <w:rsid w:val="00523F61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523F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3F61"/>
    <w:pPr>
      <w:outlineLvl w:val="9"/>
    </w:pPr>
  </w:style>
  <w:style w:type="paragraph" w:customStyle="1" w:styleId="Style1">
    <w:name w:val="Style1"/>
    <w:basedOn w:val="Normal"/>
    <w:link w:val="Style1Car"/>
    <w:qFormat/>
    <w:rsid w:val="00523F61"/>
    <w:rPr>
      <w:rFonts w:ascii="Algerian" w:hAnsi="Algerian"/>
      <w:sz w:val="144"/>
      <w:szCs w:val="144"/>
    </w:rPr>
  </w:style>
  <w:style w:type="character" w:customStyle="1" w:styleId="Style1Car">
    <w:name w:val="Style1 Car"/>
    <w:basedOn w:val="Policepardfaut"/>
    <w:link w:val="Style1"/>
    <w:rsid w:val="00523F61"/>
    <w:rPr>
      <w:rFonts w:ascii="Algerian" w:hAnsi="Algerian"/>
      <w:sz w:val="14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2019-01-13T17:32:00Z</dcterms:created>
  <dcterms:modified xsi:type="dcterms:W3CDTF">2019-01-13T18:28:00Z</dcterms:modified>
</cp:coreProperties>
</file>